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07441">
      <w:pPr>
        <w:pStyle w:val="3"/>
        <w:rPr>
          <w:rFonts w:eastAsia="Times New Roman"/>
          <w:color w:val="000000"/>
        </w:rPr>
      </w:pPr>
      <w:bookmarkStart w:id="0" w:name="_GoBack"/>
      <w:bookmarkEnd w:id="0"/>
      <w:r>
        <w:rPr>
          <w:rFonts w:eastAsia="Times New Roman"/>
          <w:color w:val="000000"/>
        </w:rPr>
        <w:t>Титульний аркуш Повідомлення (Повідомлення про інформацію)</w:t>
      </w:r>
    </w:p>
    <w:tbl>
      <w:tblPr>
        <w:tblW w:w="2500" w:type="pct"/>
        <w:tblCellMar>
          <w:top w:w="15" w:type="dxa"/>
          <w:left w:w="15" w:type="dxa"/>
          <w:bottom w:w="15" w:type="dxa"/>
          <w:right w:w="15" w:type="dxa"/>
        </w:tblCellMar>
        <w:tblLook w:val="04A0" w:firstRow="1" w:lastRow="0" w:firstColumn="1" w:lastColumn="0" w:noHBand="0" w:noVBand="1"/>
      </w:tblPr>
      <w:tblGrid>
        <w:gridCol w:w="5103"/>
      </w:tblGrid>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both"/>
              <w:rPr>
                <w:rFonts w:eastAsia="Times New Roman"/>
                <w:color w:val="000000"/>
              </w:rPr>
            </w:pPr>
            <w:r>
              <w:rPr>
                <w:rFonts w:eastAsia="Times New Roman"/>
                <w:color w:val="000000"/>
              </w:rPr>
              <w:t>Підтверджую ідентичність електронної та паперової форм інформації, що подається до Комісії, та достовірність інформації, наданої для розкриття в загальнодоступній інформаційній базі даних Комісії.</w:t>
            </w:r>
            <w:r>
              <w:rPr>
                <w:rFonts w:eastAsia="Times New Roman"/>
                <w:color w:val="000000"/>
              </w:rPr>
              <w:t xml:space="preserve"> </w:t>
            </w:r>
          </w:p>
        </w:tc>
      </w:tr>
    </w:tbl>
    <w:p w:rsidR="00000000" w:rsidRDefault="0090744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2999"/>
        <w:gridCol w:w="527"/>
        <w:gridCol w:w="2402"/>
        <w:gridCol w:w="527"/>
        <w:gridCol w:w="3750"/>
      </w:tblGrid>
      <w:tr w:rsidR="00000000">
        <w:tc>
          <w:tcPr>
            <w:tcW w:w="3000" w:type="dxa"/>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Генеральний директор</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 </w:t>
            </w:r>
          </w:p>
        </w:tc>
        <w:tc>
          <w:tcPr>
            <w:tcW w:w="3750" w:type="dxa"/>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Бевзенко Борис Федорович</w:t>
            </w:r>
          </w:p>
        </w:tc>
      </w:tr>
      <w:tr w:rsidR="00000000">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(посада)</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(підпис)</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(прізвище та ініціали керівника)</w:t>
            </w:r>
          </w:p>
        </w:tc>
      </w:tr>
      <w:tr w:rsidR="00000000">
        <w:tc>
          <w:tcPr>
            <w:tcW w:w="0" w:type="auto"/>
            <w:vMerge w:val="restart"/>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vMerge w:val="restart"/>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sz w:val="20"/>
                <w:szCs w:val="20"/>
              </w:rPr>
            </w:pPr>
          </w:p>
        </w:tc>
        <w:tc>
          <w:tcPr>
            <w:tcW w:w="0" w:type="auto"/>
            <w:vMerge w:val="restart"/>
            <w:tcBorders>
              <w:top w:val="nil"/>
              <w:left w:val="nil"/>
              <w:bottom w:val="nil"/>
              <w:right w:val="nil"/>
            </w:tcBorders>
            <w:tcMar>
              <w:top w:w="30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М.П.</w:t>
            </w:r>
          </w:p>
        </w:tc>
        <w:tc>
          <w:tcPr>
            <w:tcW w:w="0" w:type="auto"/>
            <w:vMerge w:val="restart"/>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29.03.2016</w:t>
            </w:r>
          </w:p>
        </w:tc>
      </w:tr>
      <w:tr w:rsidR="00000000">
        <w:tc>
          <w:tcPr>
            <w:tcW w:w="0" w:type="auto"/>
            <w:vMerge/>
            <w:tcBorders>
              <w:top w:val="nil"/>
              <w:left w:val="nil"/>
              <w:bottom w:val="nil"/>
              <w:right w:val="nil"/>
            </w:tcBorders>
            <w:vAlign w:val="center"/>
            <w:hideMark/>
          </w:tcPr>
          <w:p w:rsidR="00000000" w:rsidRDefault="00907441">
            <w:pPr>
              <w:rPr>
                <w:rFonts w:eastAsia="Times New Roman"/>
                <w:color w:val="000000"/>
              </w:rPr>
            </w:pPr>
          </w:p>
        </w:tc>
        <w:tc>
          <w:tcPr>
            <w:tcW w:w="0" w:type="auto"/>
            <w:vMerge/>
            <w:tcBorders>
              <w:top w:val="nil"/>
              <w:left w:val="nil"/>
              <w:bottom w:val="nil"/>
              <w:right w:val="nil"/>
            </w:tcBorders>
            <w:vAlign w:val="center"/>
            <w:hideMark/>
          </w:tcPr>
          <w:p w:rsidR="00000000" w:rsidRDefault="00907441">
            <w:pPr>
              <w:rPr>
                <w:rFonts w:eastAsia="Times New Roman"/>
                <w:sz w:val="20"/>
                <w:szCs w:val="20"/>
              </w:rPr>
            </w:pPr>
          </w:p>
        </w:tc>
        <w:tc>
          <w:tcPr>
            <w:tcW w:w="0" w:type="auto"/>
            <w:vMerge/>
            <w:tcBorders>
              <w:top w:val="nil"/>
              <w:left w:val="nil"/>
              <w:bottom w:val="nil"/>
              <w:right w:val="nil"/>
            </w:tcBorders>
            <w:vAlign w:val="center"/>
            <w:hideMark/>
          </w:tcPr>
          <w:p w:rsidR="00000000" w:rsidRDefault="00907441">
            <w:pPr>
              <w:rPr>
                <w:rFonts w:eastAsia="Times New Roman"/>
                <w:color w:val="000000"/>
              </w:rPr>
            </w:pPr>
          </w:p>
        </w:tc>
        <w:tc>
          <w:tcPr>
            <w:tcW w:w="0" w:type="auto"/>
            <w:vMerge/>
            <w:tcBorders>
              <w:top w:val="nil"/>
              <w:left w:val="nil"/>
              <w:bottom w:val="nil"/>
              <w:right w:val="nil"/>
            </w:tcBorders>
            <w:vAlign w:val="center"/>
            <w:hideMark/>
          </w:tcPr>
          <w:p w:rsidR="00000000" w:rsidRDefault="00907441">
            <w:pP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(дата)</w:t>
            </w:r>
          </w:p>
        </w:tc>
      </w:tr>
    </w:tbl>
    <w:p w:rsidR="00000000" w:rsidRDefault="00907441">
      <w:pPr>
        <w:rPr>
          <w:rFonts w:eastAsia="Times New Roman"/>
          <w:color w:val="000000"/>
        </w:rPr>
      </w:pPr>
    </w:p>
    <w:p w:rsidR="00000000" w:rsidRDefault="00907441">
      <w:pPr>
        <w:pStyle w:val="4"/>
        <w:rPr>
          <w:rFonts w:eastAsia="Times New Roman"/>
          <w:color w:val="000000"/>
        </w:rPr>
      </w:pPr>
      <w:r>
        <w:rPr>
          <w:rFonts w:eastAsia="Times New Roman"/>
          <w:color w:val="000000"/>
        </w:rPr>
        <w:t>Особлива інформація (інформація про іпотечні цінні папери, сертифікати фонду операцій з нерухомістю) емітента</w:t>
      </w:r>
    </w:p>
    <w:p w:rsidR="00000000" w:rsidRDefault="00907441">
      <w:pPr>
        <w:pStyle w:val="4"/>
        <w:rPr>
          <w:rFonts w:eastAsia="Times New Roman"/>
          <w:color w:val="000000"/>
        </w:rPr>
      </w:pPr>
      <w:r>
        <w:rPr>
          <w:rFonts w:eastAsia="Times New Roman"/>
          <w:color w:val="000000"/>
        </w:rPr>
        <w:t>I. Загальні відомості</w:t>
      </w:r>
    </w:p>
    <w:tbl>
      <w:tblPr>
        <w:tblW w:w="5000" w:type="pct"/>
        <w:tblCellMar>
          <w:top w:w="60" w:type="dxa"/>
          <w:left w:w="60" w:type="dxa"/>
          <w:bottom w:w="60" w:type="dxa"/>
          <w:right w:w="60" w:type="dxa"/>
        </w:tblCellMar>
        <w:tblLook w:val="04A0" w:firstRow="1" w:lastRow="0" w:firstColumn="1" w:lastColumn="0" w:noHBand="0" w:noVBand="1"/>
      </w:tblPr>
      <w:tblGrid>
        <w:gridCol w:w="10205"/>
      </w:tblGrid>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1. Повне найменування емітента</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i/>
                <w:iCs/>
                <w:color w:val="000000"/>
              </w:rPr>
              <w:t>ПРИВАТНЕ АКЦIОНЕРНЕ ТОВАРИСТВО «КЕРАМПРОМ»</w:t>
            </w:r>
          </w:p>
        </w:tc>
      </w:tr>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2. Організаційно-правова форма</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color w:val="000000"/>
              </w:rPr>
              <w:t>Приватне акціоне</w:t>
            </w:r>
            <w:r>
              <w:rPr>
                <w:rFonts w:eastAsia="Times New Roman"/>
                <w:color w:val="000000"/>
              </w:rPr>
              <w:t>рне товариство</w:t>
            </w:r>
          </w:p>
        </w:tc>
      </w:tr>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3. Місцезнаходження</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color w:val="000000"/>
              </w:rPr>
              <w:t>85171, Донецька обл, Костянтинiвський р-н, село Артемiвка, , вул. Дружби, буд.2</w:t>
            </w:r>
          </w:p>
        </w:tc>
      </w:tr>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4. Код за ЄДРПОУ</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color w:val="000000"/>
              </w:rPr>
              <w:t>24655289</w:t>
            </w:r>
          </w:p>
        </w:tc>
      </w:tr>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5. Міжміський код та телефон, факс</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color w:val="000000"/>
              </w:rPr>
              <w:t>050 426 68 76 -</w:t>
            </w:r>
          </w:p>
        </w:tc>
      </w:tr>
      <w:tr w:rsidR="00000000">
        <w:tc>
          <w:tcPr>
            <w:tcW w:w="0" w:type="auto"/>
            <w:tcBorders>
              <w:top w:val="nil"/>
              <w:left w:val="nil"/>
              <w:bottom w:val="nil"/>
              <w:right w:val="nil"/>
            </w:tcBorders>
            <w:vAlign w:val="center"/>
            <w:hideMark/>
          </w:tcPr>
          <w:p w:rsidR="00000000" w:rsidRDefault="00907441">
            <w:pPr>
              <w:rPr>
                <w:rFonts w:eastAsia="Times New Roman"/>
                <w:color w:val="000000"/>
              </w:rPr>
            </w:pPr>
            <w:r>
              <w:rPr>
                <w:rFonts w:eastAsia="Times New Roman"/>
                <w:color w:val="000000"/>
              </w:rPr>
              <w:t>6. Електронна поштова адреса</w:t>
            </w:r>
          </w:p>
        </w:tc>
      </w:tr>
      <w:tr w:rsidR="00000000">
        <w:tc>
          <w:tcPr>
            <w:tcW w:w="0" w:type="auto"/>
            <w:tcBorders>
              <w:top w:val="nil"/>
              <w:left w:val="nil"/>
              <w:bottom w:val="nil"/>
              <w:right w:val="nil"/>
            </w:tcBorders>
            <w:vAlign w:val="center"/>
            <w:hideMark/>
          </w:tcPr>
          <w:p w:rsidR="00000000" w:rsidRDefault="00907441">
            <w:pPr>
              <w:jc w:val="center"/>
              <w:rPr>
                <w:rFonts w:eastAsia="Times New Roman"/>
                <w:color w:val="000000"/>
              </w:rPr>
            </w:pPr>
            <w:r>
              <w:rPr>
                <w:rFonts w:eastAsia="Times New Roman"/>
                <w:color w:val="000000"/>
              </w:rPr>
              <w:t>keramprom@mail.ru</w:t>
            </w:r>
          </w:p>
        </w:tc>
      </w:tr>
      <w:tr w:rsidR="00000000">
        <w:tc>
          <w:tcPr>
            <w:tcW w:w="0" w:type="auto"/>
            <w:tcMar>
              <w:top w:w="15" w:type="dxa"/>
              <w:left w:w="15" w:type="dxa"/>
              <w:bottom w:w="15" w:type="dxa"/>
              <w:right w:w="15" w:type="dxa"/>
            </w:tcMar>
            <w:vAlign w:val="center"/>
            <w:hideMark/>
          </w:tcPr>
          <w:p w:rsidR="00000000" w:rsidRDefault="00907441">
            <w:pPr>
              <w:jc w:val="center"/>
              <w:rPr>
                <w:rFonts w:eastAsia="Times New Roman"/>
                <w:color w:val="000000"/>
              </w:rPr>
            </w:pPr>
          </w:p>
        </w:tc>
      </w:tr>
    </w:tbl>
    <w:p w:rsidR="00000000" w:rsidRDefault="00907441">
      <w:pPr>
        <w:rPr>
          <w:rFonts w:eastAsia="Times New Roman"/>
          <w:color w:val="000000"/>
        </w:rPr>
      </w:pPr>
    </w:p>
    <w:p w:rsidR="00000000" w:rsidRDefault="00907441">
      <w:pPr>
        <w:pStyle w:val="4"/>
        <w:rPr>
          <w:rFonts w:eastAsia="Times New Roman"/>
          <w:color w:val="000000"/>
        </w:rPr>
      </w:pPr>
      <w:r>
        <w:rPr>
          <w:rFonts w:eastAsia="Times New Roman"/>
          <w:color w:val="000000"/>
        </w:rPr>
        <w:t>II. Дані про дату та місце оприлюднення Повідомлення (Повідомлення про інформацію)</w:t>
      </w:r>
    </w:p>
    <w:tbl>
      <w:tblPr>
        <w:tblW w:w="5000" w:type="pct"/>
        <w:tblCellMar>
          <w:top w:w="15" w:type="dxa"/>
          <w:left w:w="15" w:type="dxa"/>
          <w:bottom w:w="15" w:type="dxa"/>
          <w:right w:w="15" w:type="dxa"/>
        </w:tblCellMar>
        <w:tblLook w:val="04A0" w:firstRow="1" w:lastRow="0" w:firstColumn="1" w:lastColumn="0" w:noHBand="0" w:noVBand="1"/>
      </w:tblPr>
      <w:tblGrid>
        <w:gridCol w:w="4025"/>
        <w:gridCol w:w="2748"/>
        <w:gridCol w:w="2232"/>
        <w:gridCol w:w="1200"/>
      </w:tblGrid>
      <w:tr w:rsidR="00000000">
        <w:tc>
          <w:tcPr>
            <w:tcW w:w="0" w:type="auto"/>
            <w:gridSpan w:val="3"/>
            <w:tcBorders>
              <w:top w:val="nil"/>
              <w:left w:val="nil"/>
              <w:bottom w:val="nil"/>
              <w:right w:val="nil"/>
            </w:tcBorders>
            <w:tcMar>
              <w:top w:w="60" w:type="dxa"/>
              <w:left w:w="60" w:type="dxa"/>
              <w:bottom w:w="60" w:type="dxa"/>
              <w:right w:w="60" w:type="dxa"/>
            </w:tcMar>
            <w:vAlign w:val="center"/>
            <w:hideMark/>
          </w:tcPr>
          <w:p w:rsidR="00000000" w:rsidRDefault="00907441">
            <w:pPr>
              <w:rPr>
                <w:rFonts w:eastAsia="Times New Roman"/>
                <w:color w:val="000000"/>
              </w:rPr>
            </w:pPr>
            <w:r>
              <w:rPr>
                <w:rFonts w:eastAsia="Times New Roman"/>
                <w:color w:val="000000"/>
              </w:rPr>
              <w:t>1. Повідомлення розміщено у загальнодоступній інформаційній базі даних Комісії</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29.03.2016</w:t>
            </w:r>
          </w:p>
        </w:tc>
      </w:tr>
      <w:tr w:rsidR="00000000">
        <w:tc>
          <w:tcPr>
            <w:tcW w:w="0" w:type="auto"/>
            <w:gridSpan w:val="3"/>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(дата)</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rPr>
                <w:rFonts w:eastAsia="Times New Roman"/>
                <w:color w:val="000000"/>
              </w:rPr>
            </w:pPr>
            <w:r>
              <w:rPr>
                <w:rFonts w:eastAsia="Times New Roman"/>
                <w:color w:val="000000"/>
              </w:rPr>
              <w:t>2. Повідомлення опубліковано у*</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000000" w:rsidRDefault="00907441">
            <w:pP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sz w:val="20"/>
                <w:szCs w:val="20"/>
              </w:rPr>
            </w:pPr>
          </w:p>
        </w:tc>
        <w:tc>
          <w:tcPr>
            <w:tcW w:w="0" w:type="auto"/>
            <w:gridSpan w:val="2"/>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(номер та найменування офіційного друкованого видання)</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(дата)</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rPr>
                <w:rFonts w:eastAsia="Times New Roman"/>
                <w:color w:val="000000"/>
              </w:rPr>
            </w:pPr>
            <w:r>
              <w:rPr>
                <w:rFonts w:eastAsia="Times New Roman"/>
                <w:color w:val="000000"/>
              </w:rPr>
              <w:t>3. Повідомлення розміщено на сторінці</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http://keramprom.at.ua</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в мережі Інтернет</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29.03.2016</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(адреса сторінки)</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907441">
            <w:pPr>
              <w:jc w:val="center"/>
              <w:rPr>
                <w:rFonts w:eastAsia="Times New Roman"/>
                <w:color w:val="000000"/>
              </w:rPr>
            </w:pPr>
            <w:r>
              <w:rPr>
                <w:rStyle w:val="small-text1"/>
                <w:rFonts w:eastAsia="Times New Roman"/>
                <w:color w:val="000000"/>
              </w:rPr>
              <w:t>(дата)</w:t>
            </w:r>
          </w:p>
        </w:tc>
      </w:tr>
    </w:tbl>
    <w:p w:rsidR="00000000" w:rsidRDefault="00907441">
      <w:pPr>
        <w:rPr>
          <w:rFonts w:eastAsia="Times New Roman"/>
          <w:color w:val="000000"/>
        </w:rPr>
        <w:sectPr w:rsidR="00000000">
          <w:pgSz w:w="11907" w:h="16840"/>
          <w:pgMar w:top="1134" w:right="851" w:bottom="851" w:left="851" w:header="0" w:footer="0" w:gutter="0"/>
          <w:cols w:space="708"/>
          <w:docGrid w:linePitch="360"/>
        </w:sectPr>
      </w:pPr>
    </w:p>
    <w:p w:rsidR="00000000" w:rsidRDefault="00907441">
      <w:pPr>
        <w:pStyle w:val="3"/>
        <w:rPr>
          <w:rFonts w:eastAsia="Times New Roman"/>
          <w:color w:val="000000"/>
        </w:rPr>
      </w:pPr>
      <w:r>
        <w:rPr>
          <w:rFonts w:eastAsia="Times New Roman"/>
          <w:color w:val="000000"/>
        </w:rPr>
        <w:lastRenderedPageBreak/>
        <w:t>Відомості про зміну власників акцій, яким належить 10 і більше відсотків голосуючих акцій</w:t>
      </w:r>
    </w:p>
    <w:tbl>
      <w:tblPr>
        <w:tblW w:w="5000" w:type="pct"/>
        <w:tblCellMar>
          <w:top w:w="15" w:type="dxa"/>
          <w:left w:w="15" w:type="dxa"/>
          <w:bottom w:w="15" w:type="dxa"/>
          <w:right w:w="15" w:type="dxa"/>
        </w:tblCellMar>
        <w:tblLook w:val="04A0" w:firstRow="1" w:lastRow="0" w:firstColumn="1" w:lastColumn="0" w:noHBand="0" w:noVBand="1"/>
      </w:tblPr>
      <w:tblGrid>
        <w:gridCol w:w="741"/>
        <w:gridCol w:w="1781"/>
        <w:gridCol w:w="2226"/>
        <w:gridCol w:w="2226"/>
        <w:gridCol w:w="3413"/>
        <w:gridCol w:w="2226"/>
        <w:gridCol w:w="2226"/>
      </w:tblGrid>
      <w:tr w:rsidR="00000000">
        <w:trPr>
          <w:tblHeader/>
        </w:trPr>
        <w:tc>
          <w:tcPr>
            <w:tcW w:w="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 з/п</w:t>
            </w:r>
          </w:p>
        </w:tc>
        <w:tc>
          <w:tcPr>
            <w:tcW w:w="6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Дата обліку (за наявності)</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Дата повідомлення емітента особою, що здійснює облік права власності на акції в депозитарній системі або акціонером</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Повне найменуванн</w:t>
            </w:r>
            <w:r>
              <w:rPr>
                <w:rFonts w:eastAsia="Times New Roman"/>
                <w:b/>
                <w:bCs/>
                <w:color w:val="000000"/>
              </w:rPr>
              <w:t>я юридичної особи - власника пакета акцій або зазначення "фізична особа"</w:t>
            </w:r>
          </w:p>
        </w:tc>
        <w:tc>
          <w:tcPr>
            <w:tcW w:w="11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Код за ЄДРПОУ - для юридичних осіб - резидентів або ідентифікаційний код з торговельного, судового або банківського реєстру країни, де офіційно зареєстрований іноземний суб'єкт господ</w:t>
            </w:r>
            <w:r>
              <w:rPr>
                <w:rFonts w:eastAsia="Times New Roman"/>
                <w:b/>
                <w:bCs/>
                <w:color w:val="000000"/>
              </w:rPr>
              <w:t>арської діяльності - для юридичних осіб - нерезидентів</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Розмір частки акціонера до зміни (у відсотках до статутного капіталу)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Розмір частки акціонера після зміни (у відсотках до статутного капіталу)</w:t>
            </w:r>
          </w:p>
        </w:tc>
      </w:tr>
      <w:tr w:rsidR="00000000">
        <w:trPr>
          <w:tblHead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b/>
                <w:bCs/>
                <w:color w:val="000000"/>
              </w:rPr>
            </w:pPr>
            <w:r>
              <w:rPr>
                <w:rFonts w:eastAsia="Times New Roman"/>
                <w:b/>
                <w:bCs/>
                <w:color w:val="000000"/>
              </w:rPr>
              <w:t>7</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29.03.2016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"Фiзична особа"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9.9998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jc w:val="center"/>
              <w:rPr>
                <w:rFonts w:eastAsia="Times New Roman"/>
                <w:color w:val="000000"/>
              </w:rPr>
            </w:pPr>
            <w:r>
              <w:rPr>
                <w:rFonts w:eastAsia="Times New Roman"/>
                <w:color w:val="000000"/>
              </w:rPr>
              <w:t>10.351339</w:t>
            </w:r>
          </w:p>
        </w:tc>
      </w:tr>
      <w:tr w:rsidR="00000000">
        <w:tc>
          <w:tcPr>
            <w:tcW w:w="0" w:type="auto"/>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rPr>
                <w:rFonts w:eastAsia="Times New Roman"/>
                <w:b/>
                <w:bCs/>
                <w:color w:val="000000"/>
              </w:rPr>
            </w:pPr>
            <w:r>
              <w:rPr>
                <w:rFonts w:eastAsia="Times New Roman"/>
                <w:b/>
                <w:bCs/>
                <w:color w:val="000000"/>
              </w:rPr>
              <w:t>Зміст інформації:</w:t>
            </w:r>
          </w:p>
        </w:tc>
      </w:tr>
      <w:tr w:rsidR="00000000">
        <w:tc>
          <w:tcPr>
            <w:tcW w:w="0" w:type="auto"/>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907441">
            <w:pPr>
              <w:ind w:firstLine="200"/>
              <w:rPr>
                <w:rFonts w:eastAsia="Times New Roman"/>
                <w:color w:val="000000"/>
              </w:rPr>
            </w:pPr>
            <w:r>
              <w:rPr>
                <w:rFonts w:eastAsia="Times New Roman"/>
                <w:color w:val="000000"/>
              </w:rPr>
              <w:t>29.03.2016 р. Емiтент ПрАТ «КЕРАМПРОМ» (код за ЄДРПОУ 24655289) отримав вiд ПАТ «НАЦIОНАЛЬНИЙ ДЕПОЗИТАРIЙ УКРАЇНИ» Перелiк акцiонерiв, яким надсилатиметься письмове повiдомлення про проведення Загальних зборiв Товариства, станом на 25.03.2016 р. Вiдповiдно</w:t>
            </w:r>
            <w:r>
              <w:rPr>
                <w:rFonts w:eastAsia="Times New Roman"/>
                <w:color w:val="000000"/>
              </w:rPr>
              <w:t xml:space="preserve"> до отриманої iнформацiї, стало вiдомо про змiну власникiв акцiй, яким належить 10 i бiльше вiдсоткiв голосуючих акцiй емiтента. Розмiр пакету акцiй акцiонера – «Фiзичної особи» в загальнiй кiлькостi акцiй та загальнiй кiлькостi голосуючих акцiй збiльшився</w:t>
            </w:r>
            <w:r>
              <w:rPr>
                <w:rFonts w:eastAsia="Times New Roman"/>
                <w:color w:val="000000"/>
              </w:rPr>
              <w:t xml:space="preserve"> з 31402 штук (9,9998 % до статутного капiталу Товариства) до 32506 штук (10,351339% до статутного капiталу Товариства). У полi «дата облiку» не проставлено дату, оскiльки емiтенту невiдома дата переходу прав власностi на цiннi папери.</w:t>
            </w:r>
          </w:p>
        </w:tc>
      </w:tr>
    </w:tbl>
    <w:p w:rsidR="00907441" w:rsidRDefault="00907441">
      <w:pPr>
        <w:rPr>
          <w:rFonts w:eastAsia="Times New Roman"/>
        </w:rPr>
      </w:pPr>
    </w:p>
    <w:sectPr w:rsidR="00907441">
      <w:pgSz w:w="16840" w:h="11907" w:orient="landscape"/>
      <w:pgMar w:top="1134" w:right="1134"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8F30F5"/>
    <w:rsid w:val="008F30F5"/>
    <w:rsid w:val="00907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1BFD59-880C-4CFF-9F5C-360E3ACC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after="300"/>
      <w:jc w:val="center"/>
      <w:outlineLvl w:val="2"/>
    </w:pPr>
    <w:rPr>
      <w:b/>
      <w:bCs/>
      <w:sz w:val="28"/>
      <w:szCs w:val="28"/>
    </w:rPr>
  </w:style>
  <w:style w:type="paragraph" w:styleId="4">
    <w:name w:val="heading 4"/>
    <w:basedOn w:val="a"/>
    <w:link w:val="40"/>
    <w:uiPriority w:val="9"/>
    <w:qFormat/>
    <w:pPr>
      <w:spacing w:after="225"/>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24"/>
      <w:szCs w:val="24"/>
    </w:rPr>
  </w:style>
  <w:style w:type="paragraph" w:customStyle="1" w:styleId="msonormal0">
    <w:name w:val="msonormal"/>
    <w:basedOn w:val="a"/>
    <w:pPr>
      <w:spacing w:before="100" w:beforeAutospacing="1" w:after="100" w:afterAutospacing="1"/>
    </w:pPr>
  </w:style>
  <w:style w:type="paragraph" w:customStyle="1" w:styleId="justify">
    <w:name w:val="justify"/>
    <w:basedOn w:val="a"/>
    <w:pPr>
      <w:spacing w:before="100" w:beforeAutospacing="1" w:after="100" w:afterAutospacing="1"/>
      <w:jc w:val="both"/>
    </w:pPr>
  </w:style>
  <w:style w:type="paragraph" w:customStyle="1" w:styleId="zmist">
    <w:name w:val="zmist"/>
    <w:basedOn w:val="a"/>
    <w:pPr>
      <w:spacing w:before="100" w:beforeAutospacing="1" w:after="100" w:afterAutospacing="1"/>
      <w:ind w:firstLine="200"/>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2429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Privateer~</dc:creator>
  <cp:keywords/>
  <dc:description/>
  <cp:lastModifiedBy>Privateer~</cp:lastModifiedBy>
  <cp:revision>2</cp:revision>
  <dcterms:created xsi:type="dcterms:W3CDTF">2021-06-15T14:13:00Z</dcterms:created>
  <dcterms:modified xsi:type="dcterms:W3CDTF">2021-06-15T14:13:00Z</dcterms:modified>
</cp:coreProperties>
</file>